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D6" w:rsidRDefault="00897BD6">
      <w:pPr>
        <w:pStyle w:val="1"/>
        <w:shd w:val="clear" w:color="auto" w:fill="auto"/>
        <w:spacing w:line="451" w:lineRule="exact"/>
        <w:ind w:left="20" w:right="40" w:firstLine="720"/>
        <w:jc w:val="both"/>
        <w:rPr>
          <w:sz w:val="28"/>
          <w:szCs w:val="28"/>
          <w:lang w:val="ru-RU"/>
        </w:rPr>
      </w:pPr>
    </w:p>
    <w:p w:rsidR="00897BD6" w:rsidRPr="00897BD6" w:rsidRDefault="00897BD6">
      <w:pPr>
        <w:pStyle w:val="1"/>
        <w:shd w:val="clear" w:color="auto" w:fill="auto"/>
        <w:spacing w:line="451" w:lineRule="exact"/>
        <w:ind w:left="20" w:right="40" w:firstLine="720"/>
        <w:jc w:val="both"/>
        <w:rPr>
          <w:b/>
          <w:sz w:val="28"/>
          <w:szCs w:val="28"/>
          <w:lang w:val="ru-RU"/>
        </w:rPr>
      </w:pPr>
      <w:bookmarkStart w:id="0" w:name="_GoBack"/>
      <w:r w:rsidRPr="00897BD6">
        <w:rPr>
          <w:b/>
          <w:sz w:val="28"/>
          <w:szCs w:val="28"/>
          <w:lang w:val="ru-RU"/>
        </w:rPr>
        <w:t>25.09.2014</w:t>
      </w:r>
    </w:p>
    <w:bookmarkEnd w:id="0"/>
    <w:p w:rsidR="003B12A5" w:rsidRPr="00897BD6" w:rsidRDefault="00897BD6">
      <w:pPr>
        <w:pStyle w:val="1"/>
        <w:shd w:val="clear" w:color="auto" w:fill="auto"/>
        <w:spacing w:line="451" w:lineRule="exact"/>
        <w:ind w:left="20" w:right="40" w:firstLine="720"/>
        <w:jc w:val="both"/>
        <w:rPr>
          <w:sz w:val="28"/>
          <w:szCs w:val="28"/>
        </w:rPr>
      </w:pPr>
      <w:proofErr w:type="gramStart"/>
      <w:r>
        <w:rPr>
          <w:lang w:val="ru-RU"/>
        </w:rPr>
        <w:t xml:space="preserve">Специалистами </w:t>
      </w:r>
      <w:proofErr w:type="spellStart"/>
      <w:r>
        <w:t>Управлени</w:t>
      </w:r>
      <w:proofErr w:type="spellEnd"/>
      <w:r>
        <w:rPr>
          <w:lang w:val="ru-RU"/>
        </w:rPr>
        <w:t>я</w:t>
      </w:r>
      <w:r>
        <w:t xml:space="preserve"> направлен ответ</w:t>
      </w:r>
      <w:r>
        <w:rPr>
          <w:lang w:val="ru-RU"/>
        </w:rPr>
        <w:t>, что</w:t>
      </w:r>
      <w:r w:rsidRPr="00897BD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proofErr w:type="spellStart"/>
      <w:r w:rsidR="00CE27A5" w:rsidRPr="00897BD6">
        <w:rPr>
          <w:sz w:val="28"/>
          <w:szCs w:val="28"/>
        </w:rPr>
        <w:t>огласно</w:t>
      </w:r>
      <w:proofErr w:type="spellEnd"/>
      <w:r w:rsidR="00CE27A5" w:rsidRPr="00897BD6">
        <w:rPr>
          <w:sz w:val="28"/>
          <w:szCs w:val="28"/>
        </w:rPr>
        <w:t xml:space="preserve"> ст. 28 Федерального закона от 21.11.1995 № 170-ФЗ "Об использовании атомной энергии" решения о сооружении пунктов хранения, находящихся в федеральной собственности, либо имеющих федеральное или межрегиональное значение принимаются Правительством Российской Федерации при согласовании с органами государственной власти субъектов Российской Федерации, на территориях которых предполагается размещение и сооружение пунктов хранения.</w:t>
      </w:r>
      <w:proofErr w:type="gramEnd"/>
      <w:r w:rsidR="00CE27A5" w:rsidRPr="00897BD6">
        <w:rPr>
          <w:sz w:val="28"/>
          <w:szCs w:val="28"/>
        </w:rPr>
        <w:t xml:space="preserve"> Решения о размещении и сооружении пунктов хранения принимаются в соответствии с земельным законодательством, законодательством о градостроительной деятельности, законодательством об охране окружающей среды и с учетом выводов экспертиз, проводившихся общественными организациями. Правила принятия решений о размещении и сооружении ядерных установок, радиационных источников и пунктов хранения утверждены Постановлением Правительства РФ от 14.03.1997 № 306.</w:t>
      </w:r>
    </w:p>
    <w:p w:rsidR="003B12A5" w:rsidRPr="00897BD6" w:rsidRDefault="00CE27A5">
      <w:pPr>
        <w:pStyle w:val="1"/>
        <w:shd w:val="clear" w:color="auto" w:fill="auto"/>
        <w:spacing w:line="451" w:lineRule="exact"/>
        <w:ind w:left="20" w:right="40" w:firstLine="720"/>
        <w:jc w:val="both"/>
        <w:rPr>
          <w:sz w:val="28"/>
          <w:szCs w:val="28"/>
        </w:rPr>
      </w:pPr>
      <w:r w:rsidRPr="00897BD6">
        <w:rPr>
          <w:sz w:val="28"/>
          <w:szCs w:val="28"/>
        </w:rPr>
        <w:t>Предложения о размещении и сооружении объекта исходят от заказчика, который на основании потребностей регионов, выявленных в схемах развития и размещения отраслей народного хозяйства, или исследований ситуации на рынке продукции и услуг составляет ходатайство о намерениях. Ходатайство должно содержать необходимую информацию о целях, источниках и возможностях инвестирования, вариантах местоположения, сроках строительства и ввода объекта в эксплуатацию, технико-экономических показателях, радиационной и экологической безопасности объекта.</w:t>
      </w:r>
    </w:p>
    <w:p w:rsidR="003B12A5" w:rsidRPr="00897BD6" w:rsidRDefault="00CE27A5">
      <w:pPr>
        <w:pStyle w:val="1"/>
        <w:shd w:val="clear" w:color="auto" w:fill="auto"/>
        <w:spacing w:line="451" w:lineRule="exact"/>
        <w:ind w:left="20" w:right="40" w:firstLine="720"/>
        <w:jc w:val="both"/>
        <w:rPr>
          <w:sz w:val="28"/>
          <w:szCs w:val="28"/>
        </w:rPr>
      </w:pPr>
      <w:r w:rsidRPr="00897BD6">
        <w:rPr>
          <w:sz w:val="28"/>
          <w:szCs w:val="28"/>
        </w:rPr>
        <w:t>Для пунктов хранения федерального и регионального значений ходатайство о намерениях должно быть направлено заказчиком на рассмотрение в федеральные органы исполнительной власти, осуществляющие управление использованием атомной энергии, и органы исполнительной власти субъектов Российской Федерации, на территории которых намечается размещение объекта.</w:t>
      </w:r>
    </w:p>
    <w:p w:rsidR="003B12A5" w:rsidRPr="00897BD6" w:rsidRDefault="00CE27A5">
      <w:pPr>
        <w:pStyle w:val="1"/>
        <w:shd w:val="clear" w:color="auto" w:fill="auto"/>
        <w:spacing w:line="451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897BD6">
        <w:rPr>
          <w:sz w:val="28"/>
          <w:szCs w:val="28"/>
        </w:rPr>
        <w:lastRenderedPageBreak/>
        <w:t>Органы, уполномоченные осуществлять государственное управление использованием атомной энергии установлены</w:t>
      </w:r>
      <w:proofErr w:type="gramEnd"/>
      <w:r w:rsidRPr="00897BD6">
        <w:rPr>
          <w:sz w:val="28"/>
          <w:szCs w:val="28"/>
        </w:rPr>
        <w:t xml:space="preserve"> в п. 1 Постановления Правительства РФ от 03.07.2006 № 412. </w:t>
      </w:r>
      <w:proofErr w:type="gramStart"/>
      <w:r w:rsidRPr="00897BD6">
        <w:rPr>
          <w:sz w:val="28"/>
          <w:szCs w:val="28"/>
        </w:rPr>
        <w:t>Волжское</w:t>
      </w:r>
      <w:proofErr w:type="gramEnd"/>
      <w:r w:rsidRPr="00897BD6">
        <w:rPr>
          <w:sz w:val="28"/>
          <w:szCs w:val="28"/>
        </w:rPr>
        <w:t xml:space="preserve"> МТУ по надзору за ЯРБ</w:t>
      </w:r>
    </w:p>
    <w:p w:rsidR="003B12A5" w:rsidRPr="00897BD6" w:rsidRDefault="00CE27A5">
      <w:pPr>
        <w:pStyle w:val="1"/>
        <w:shd w:val="clear" w:color="auto" w:fill="auto"/>
        <w:spacing w:line="446" w:lineRule="exact"/>
        <w:ind w:left="20" w:right="40"/>
        <w:jc w:val="both"/>
        <w:rPr>
          <w:sz w:val="28"/>
          <w:szCs w:val="28"/>
        </w:rPr>
      </w:pPr>
      <w:proofErr w:type="spellStart"/>
      <w:r w:rsidRPr="00897BD6">
        <w:rPr>
          <w:sz w:val="28"/>
          <w:szCs w:val="28"/>
        </w:rPr>
        <w:t>Ростехнадзора</w:t>
      </w:r>
      <w:proofErr w:type="spellEnd"/>
      <w:r w:rsidRPr="00897BD6">
        <w:rPr>
          <w:sz w:val="28"/>
          <w:szCs w:val="28"/>
        </w:rPr>
        <w:t xml:space="preserve"> не является органом, уполномоченным осуществлять государственное управление использованием атомной энергии. В соответствии с утвержденным положением, Волжское МТУ по надзору за ЯРБ </w:t>
      </w:r>
      <w:proofErr w:type="spellStart"/>
      <w:r w:rsidRPr="00897BD6">
        <w:rPr>
          <w:sz w:val="28"/>
          <w:szCs w:val="28"/>
        </w:rPr>
        <w:t>Ростехнадзора</w:t>
      </w:r>
      <w:proofErr w:type="spellEnd"/>
      <w:r w:rsidRPr="00897BD6">
        <w:rPr>
          <w:sz w:val="28"/>
          <w:szCs w:val="28"/>
        </w:rPr>
        <w:t xml:space="preserve"> относится к органу, осуществляющему государственное регулирование безопасности при использовании атомной энергии.</w:t>
      </w:r>
    </w:p>
    <w:p w:rsidR="003B12A5" w:rsidRPr="00897BD6" w:rsidRDefault="00CE27A5">
      <w:pPr>
        <w:pStyle w:val="1"/>
        <w:shd w:val="clear" w:color="auto" w:fill="auto"/>
        <w:spacing w:line="446" w:lineRule="exact"/>
        <w:ind w:left="20" w:right="40" w:firstLine="700"/>
        <w:jc w:val="both"/>
        <w:rPr>
          <w:sz w:val="28"/>
          <w:szCs w:val="28"/>
        </w:rPr>
      </w:pPr>
      <w:r w:rsidRPr="00897BD6">
        <w:rPr>
          <w:sz w:val="28"/>
          <w:szCs w:val="28"/>
        </w:rPr>
        <w:t xml:space="preserve">Содержание ст. 28 Федерального закона "Об использовании атомной энергии" не предусматривает участия территориальных управлений </w:t>
      </w:r>
      <w:proofErr w:type="spellStart"/>
      <w:r w:rsidRPr="00897BD6">
        <w:rPr>
          <w:sz w:val="28"/>
          <w:szCs w:val="28"/>
        </w:rPr>
        <w:t>Ростехнадзора</w:t>
      </w:r>
      <w:proofErr w:type="spellEnd"/>
      <w:r w:rsidRPr="00897BD6">
        <w:rPr>
          <w:sz w:val="28"/>
          <w:szCs w:val="28"/>
        </w:rPr>
        <w:t xml:space="preserve"> в подготовке предложений о месте размещения и сооружения нового пункта хранения радиоактивных отходов.</w:t>
      </w:r>
    </w:p>
    <w:p w:rsidR="003B12A5" w:rsidRPr="00897BD6" w:rsidRDefault="00CE27A5">
      <w:pPr>
        <w:pStyle w:val="1"/>
        <w:shd w:val="clear" w:color="auto" w:fill="auto"/>
        <w:spacing w:after="1041" w:line="446" w:lineRule="exact"/>
        <w:ind w:left="20" w:right="40" w:firstLine="700"/>
        <w:jc w:val="both"/>
        <w:rPr>
          <w:sz w:val="28"/>
          <w:szCs w:val="28"/>
          <w:lang w:val="ru-RU"/>
        </w:rPr>
      </w:pPr>
      <w:proofErr w:type="gramStart"/>
      <w:r w:rsidRPr="00897BD6">
        <w:rPr>
          <w:sz w:val="28"/>
          <w:szCs w:val="28"/>
        </w:rPr>
        <w:t xml:space="preserve">Дополнительно сообщаю, что в Волжское МТУ по надзору за ЯРБ </w:t>
      </w:r>
      <w:proofErr w:type="spellStart"/>
      <w:r w:rsidRPr="00897BD6">
        <w:rPr>
          <w:sz w:val="28"/>
          <w:szCs w:val="28"/>
        </w:rPr>
        <w:t>Ростехнадзора</w:t>
      </w:r>
      <w:proofErr w:type="spellEnd"/>
      <w:r w:rsidRPr="00897BD6">
        <w:rPr>
          <w:sz w:val="28"/>
          <w:szCs w:val="28"/>
        </w:rPr>
        <w:t xml:space="preserve"> не поступала информация от юридических лиц, органов, уполномоченных осуществлять государственное управление использованием атомной энергии (в том числе Государственной корпорации по атомной энергии "</w:t>
      </w:r>
      <w:proofErr w:type="spellStart"/>
      <w:r w:rsidRPr="00897BD6">
        <w:rPr>
          <w:sz w:val="28"/>
          <w:szCs w:val="28"/>
        </w:rPr>
        <w:t>Росатом</w:t>
      </w:r>
      <w:proofErr w:type="spellEnd"/>
      <w:r w:rsidRPr="00897BD6">
        <w:rPr>
          <w:sz w:val="28"/>
          <w:szCs w:val="28"/>
        </w:rPr>
        <w:t>"), органов местного самоуправления и/или органов государственной власти Самарской области о намерениях осуществить сооружение на территории поселка Ленинский Красноармейского района Самарской области пункта</w:t>
      </w:r>
      <w:r w:rsidR="00897BD6" w:rsidRPr="00897BD6">
        <w:rPr>
          <w:sz w:val="28"/>
          <w:szCs w:val="28"/>
        </w:rPr>
        <w:t xml:space="preserve"> хранения радиоактивных отходов</w:t>
      </w:r>
      <w:r w:rsidR="00897BD6" w:rsidRPr="00897BD6">
        <w:rPr>
          <w:sz w:val="28"/>
          <w:szCs w:val="28"/>
          <w:lang w:val="ru-RU"/>
        </w:rPr>
        <w:t>.</w:t>
      </w:r>
      <w:proofErr w:type="gramEnd"/>
    </w:p>
    <w:p w:rsidR="003B12A5" w:rsidRPr="00897BD6" w:rsidRDefault="003B12A5" w:rsidP="00897BD6">
      <w:pPr>
        <w:pStyle w:val="80"/>
        <w:shd w:val="clear" w:color="auto" w:fill="auto"/>
        <w:spacing w:before="0"/>
        <w:ind w:right="7960"/>
        <w:rPr>
          <w:lang w:val="ru-RU"/>
        </w:rPr>
      </w:pPr>
    </w:p>
    <w:sectPr w:rsidR="003B12A5" w:rsidRPr="00897BD6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A9" w:rsidRDefault="005F24A9">
      <w:r>
        <w:separator/>
      </w:r>
    </w:p>
  </w:endnote>
  <w:endnote w:type="continuationSeparator" w:id="0">
    <w:p w:rsidR="005F24A9" w:rsidRDefault="005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A9" w:rsidRDefault="005F24A9"/>
  </w:footnote>
  <w:footnote w:type="continuationSeparator" w:id="0">
    <w:p w:rsidR="005F24A9" w:rsidRDefault="005F24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A5"/>
    <w:rsid w:val="003B12A5"/>
    <w:rsid w:val="005F24A9"/>
    <w:rsid w:val="00897BD6"/>
    <w:rsid w:val="00C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ranklinGothicHeavy13pt">
    <w:name w:val="Основной текст (2) + Franklin Gothic Heavy;13 pt;Не полужирный;Не малые прописные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;Не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35pt">
    <w:name w:val="Основной текст (4) + 13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35pt">
    <w:name w:val="Основной текст (5) + 13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lang w:val="en-US"/>
    </w:rPr>
  </w:style>
  <w:style w:type="character" w:customStyle="1" w:styleId="565pt">
    <w:name w:val="Основной текст (5) + 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05pt">
    <w:name w:val="Основной текст (8) + 10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ind w:firstLine="35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92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ranklinGothicHeavy13pt">
    <w:name w:val="Основной текст (2) + Franklin Gothic Heavy;13 pt;Не полужирный;Не малые прописные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;Не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35pt">
    <w:name w:val="Основной текст (4) + 13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35pt">
    <w:name w:val="Основной текст (5) + 13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lang w:val="en-US"/>
    </w:rPr>
  </w:style>
  <w:style w:type="character" w:customStyle="1" w:styleId="565pt">
    <w:name w:val="Основной текст (5) + 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05pt">
    <w:name w:val="Основной текст (8) + 10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ind w:firstLine="35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92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</dc:creator>
  <cp:lastModifiedBy>Инспектор</cp:lastModifiedBy>
  <cp:revision>2</cp:revision>
  <dcterms:created xsi:type="dcterms:W3CDTF">2014-10-07T12:12:00Z</dcterms:created>
  <dcterms:modified xsi:type="dcterms:W3CDTF">2014-10-07T12:12:00Z</dcterms:modified>
</cp:coreProperties>
</file>